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666666"/>
          <w:spacing w:val="0"/>
          <w:sz w:val="36"/>
          <w:szCs w:val="36"/>
          <w:shd w:val="clear" w:fill="FFFFFF"/>
          <w:lang w:eastAsia="zh-CN"/>
        </w:rPr>
        <w:t>四川省民政厅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666666"/>
          <w:spacing w:val="0"/>
          <w:sz w:val="36"/>
          <w:szCs w:val="36"/>
          <w:shd w:val="clear" w:fill="FFFFFF"/>
        </w:rPr>
        <w:t>随机抽查事项清单</w:t>
      </w:r>
      <w:bookmarkStart w:id="0" w:name="_GoBack"/>
      <w:bookmarkEnd w:id="0"/>
    </w:p>
    <w:tbl>
      <w:tblPr>
        <w:tblStyle w:val="5"/>
        <w:tblW w:w="13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80"/>
        <w:gridCol w:w="1180"/>
        <w:gridCol w:w="1180"/>
        <w:gridCol w:w="1180"/>
        <w:gridCol w:w="1180"/>
        <w:gridCol w:w="1113"/>
        <w:gridCol w:w="1064"/>
        <w:gridCol w:w="1072"/>
        <w:gridCol w:w="212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抽查事项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抽查依据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抽查主体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抽查范围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抽查标准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抽查比例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抽查频率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抽查方式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抽查内容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  <w:t>违反《社会团体登记管理条例》行为的监督检查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《社会团体登记管理条例》《社会组织抽查暂行办法》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省民政厅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省级登记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社会团体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《社会团体登记管理条例》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5%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1次/年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书面检查、现场检查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  <w:t>社会团体遵守法律法规和国家政策的情况，依照《社会团体登记管理条例》履行登记手续的情况,按照章程开展活动的情况，人员和机构变动的情况以及财务管理的情况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  <w:t>《民办非企业单位登记管理暂行条例》行为的监督检查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《民办非企业单位登记管理暂行条例》《社会组织抽查暂行办法》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省民政厅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省级登记的民办非企业单位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《民办非企业单位登记管理暂行条例》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5%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1次/年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书面检查、现场检查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  <w:t>民办非企业单位遵守法律法规和国家政策的情况，依照《民办非企业单位登记管理暂行条例》履行登记手续的情况,按照章程开展活动的情况，人员和机构变动的情况以及财务管理的情况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  <w:t>依照《基金会管理条例》及其章程开展活动的情况进行监督检查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  <w:t>《基金会管理条例》《社会组织抽查暂行办法》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省民政厅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省级登记的基金会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  <w:t>《基金会管理条例》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  <w:t>5%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  <w:t>1次/年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书面检查、现场检查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  <w:t>财务会计报告、注册会计师审计报告，开展募捐、提供资助等活动的情况以及人员和机构的变动情况等</w:t>
            </w:r>
          </w:p>
        </w:tc>
        <w:tc>
          <w:tcPr>
            <w:tcW w:w="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579E8"/>
    <w:rsid w:val="1F9306AD"/>
    <w:rsid w:val="36B45C6C"/>
    <w:rsid w:val="431823EB"/>
    <w:rsid w:val="4A102665"/>
    <w:rsid w:val="507E08A3"/>
    <w:rsid w:val="6D203755"/>
    <w:rsid w:val="700F288E"/>
    <w:rsid w:val="744579E8"/>
    <w:rsid w:val="75A728C4"/>
    <w:rsid w:val="75E37FC9"/>
    <w:rsid w:val="7E21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2019-12-12T05:44:00Z</dcterms:created>
  <dc:creator>杨宝众</dc:creator>
  <cp:lastModifiedBy>林舸</cp:lastModifiedBy>
  <dcterms:modified xsi:type="dcterms:W3CDTF">2019-12-24T02:59:05Z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